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524"/>
        <w:gridCol w:w="21"/>
        <w:gridCol w:w="790"/>
      </w:tblGrid>
      <w:tr w:rsidR="00291A82" w:rsidRPr="00291A82" w:rsidTr="00291A82">
        <w:trPr>
          <w:tblCellSpacing w:w="0" w:type="dxa"/>
        </w:trPr>
        <w:tc>
          <w:tcPr>
            <w:tcW w:w="11" w:type="pct"/>
            <w:hideMark/>
          </w:tcPr>
          <w:p w:rsidR="00291A82" w:rsidRPr="00291A82" w:rsidRDefault="00291A82" w:rsidP="00291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0" cy="9525"/>
                  <wp:effectExtent l="0" t="0" r="0" b="0"/>
                  <wp:docPr id="1" name="Рисунок 1" descr="http://www.gramota.ru/book/ritorik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mota.ru/book/ritorik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pct"/>
            <w:vAlign w:val="center"/>
            <w:hideMark/>
          </w:tcPr>
          <w:p w:rsidR="00291A82" w:rsidRPr="00291A82" w:rsidRDefault="00291A82" w:rsidP="00291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9525"/>
                  <wp:effectExtent l="0" t="0" r="0" b="0"/>
                  <wp:docPr id="2" name="Рисунок 2" descr="http://www.gramota.ru/book/ritorik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ramota.ru/book/ritorik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" w:type="pct"/>
            <w:shd w:val="clear" w:color="auto" w:fill="A95A18"/>
            <w:vAlign w:val="center"/>
            <w:hideMark/>
          </w:tcPr>
          <w:p w:rsidR="00291A82" w:rsidRPr="00291A82" w:rsidRDefault="00291A82" w:rsidP="00291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://www.gramota.ru/book/ritorik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ramota.ru/book/ritorik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pct"/>
            <w:shd w:val="clear" w:color="auto" w:fill="FFE3B7"/>
            <w:vAlign w:val="center"/>
            <w:hideMark/>
          </w:tcPr>
          <w:p w:rsidR="00291A82" w:rsidRPr="00291A82" w:rsidRDefault="00291A82" w:rsidP="00291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9525"/>
                  <wp:effectExtent l="0" t="0" r="0" b="0"/>
                  <wp:docPr id="4" name="Рисунок 4" descr="http://www.gramota.ru/book/ritorik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ramota.ru/book/ritorik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82" w:rsidRPr="00291A82" w:rsidTr="00291A82">
        <w:trPr>
          <w:tblCellSpacing w:w="0" w:type="dxa"/>
        </w:trPr>
        <w:tc>
          <w:tcPr>
            <w:tcW w:w="11" w:type="pct"/>
            <w:vAlign w:val="center"/>
            <w:hideMark/>
          </w:tcPr>
          <w:p w:rsidR="00291A82" w:rsidRPr="00291A82" w:rsidRDefault="00291A82" w:rsidP="00291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9525"/>
                  <wp:effectExtent l="0" t="0" r="0" b="0"/>
                  <wp:docPr id="5" name="Рисунок 5" descr="http://www.gramota.ru/book/ritorik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ramota.ru/book/ritorik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pct"/>
            <w:hideMark/>
          </w:tcPr>
          <w:p w:rsidR="00291A82" w:rsidRPr="00291A82" w:rsidRDefault="00291A82" w:rsidP="00291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19400" cy="542925"/>
                  <wp:effectExtent l="19050" t="0" r="0" b="0"/>
                  <wp:wrapSquare wrapText="bothSides"/>
                  <wp:docPr id="18" name="Рисунок 2" descr="http://www.gramota.ru/book/ritorika/images/titul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ramota.ru/book/ritorika/images/titul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1A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1A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291A82" w:rsidRPr="00291A82" w:rsidRDefault="00291A82" w:rsidP="00291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A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" w:type="pct"/>
            <w:vAlign w:val="center"/>
            <w:hideMark/>
          </w:tcPr>
          <w:p w:rsidR="00291A82" w:rsidRPr="00291A82" w:rsidRDefault="00291A82" w:rsidP="00291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Align w:val="center"/>
            <w:hideMark/>
          </w:tcPr>
          <w:p w:rsidR="00291A82" w:rsidRPr="00291A82" w:rsidRDefault="00291A82" w:rsidP="00291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аждый человек принадлежит к определённой национальной </w:t>
      </w:r>
      <w:hyperlink r:id="rId7" w:history="1"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>культуре,</w:t>
        </w:r>
      </w:hyperlink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включающей национальные традиции, язык, историю,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proofErr w:type="gramStart"/>
      <w:r w:rsidRPr="00291A82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291A82">
        <w:rPr>
          <w:rFonts w:ascii="Times New Roman" w:eastAsia="Times New Roman" w:hAnsi="Times New Roman" w:cs="Times New Roman"/>
          <w:sz w:val="24"/>
          <w:szCs w:val="24"/>
        </w:rPr>
        <w:t>кономические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, культурные и научные контакты стран и их народов делают актуальными темы, связанные с исследованием межкультурных коммуникаций, соотношения языков и культур, изучением языковой личности. 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NO" w:history="1"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 xml:space="preserve">Э.Сепир писал: "Язык - это путеводитель, приобретающий всё большую значимость в качестве руководящего начала в научном изучении культуры". </w:t>
        </w:r>
      </w:hyperlink>
      <w:hyperlink r:id="rId9" w:tooltip="Лингвокультурология  - комплексная научная дисциплина синтезирующего типа,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(культурного) содержания при помощи системных методов и с ориентацией на современные приоритеты и культурные установления (система норм и общечеловеческих ценностей)." w:history="1">
        <w:proofErr w:type="spellStart"/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>Лингвокультурология</w:t>
        </w:r>
        <w:proofErr w:type="spellEnd"/>
      </w:hyperlink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- одно из ведущих направлений лингвистических исследований. Она идёт от духа языка или от тех или иных явлений, связанных с языковой ментальностью, изучает национально-культурные специфические правила организации речевого общения, показывает духовность, соборность русского народа, отражённые в языке.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Эта дисциплина связана с философией, национальным характером, менталитетом. Она представляет собой некую совокупность знаний о национально-культурной специфике, организации содержания речевого общения. 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19" name="Рисунок 7" descr="http://www.gramota.ru/book/ritorika/images/letter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amota.ru/book/ritorika/images/letter_1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ингвокультурологическое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соответствует общей тенденции современной лингвистики - переходу от лингвистики "внутренней", "имманентной", структурной, к лингвистике "внешней", антропологической,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рассматр</w:t>
      </w:r>
      <w:proofErr w:type="gramStart"/>
      <w:r w:rsidRPr="00291A8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вающей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явления языка в тесной связи с человеком, его мышлением, духовно-практической деятельностью.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NO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28575" distB="28575" distL="28575" distR="28575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00175" cy="1790700"/>
              <wp:effectExtent l="19050" t="0" r="9525" b="0"/>
              <wp:wrapSquare wrapText="bothSides"/>
              <wp:docPr id="20" name="Рисунок 3" descr="http://www.gramota.ru/book/ritorika/images/sessyu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gramota.ru/book/ritorika/images/sessyur.jpg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0175" cy="179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 xml:space="preserve">Ф. де Соссюр писал: "Наше определение языка предполагает устранение из понятия "язык" всего того, что чуждо его организму, его системе, - одним словом того, что известно под названием "внешней лингвистики", хотя эта лингвистика и занимается очень важными предметами </w:t>
        </w:r>
        <w:proofErr w:type="gramStart"/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>и</w:t>
        </w:r>
        <w:proofErr w:type="gramEnd"/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 xml:space="preserve"> хотя именно её главным образом имеют в виду, когда приступают к изучению речевой деятельности". </w:t>
        </w:r>
      </w:hyperlink>
      <w:r w:rsidRPr="00291A82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языку, общению на данном языке без культуры обойтись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нельзя</w:t>
      </w:r>
      <w:proofErr w:type="gramStart"/>
      <w:r w:rsidRPr="00291A8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291A82">
        <w:rPr>
          <w:rFonts w:ascii="Times New Roman" w:eastAsia="Times New Roman" w:hAnsi="Times New Roman" w:cs="Times New Roman"/>
          <w:sz w:val="24"/>
          <w:szCs w:val="24"/>
        </w:rPr>
        <w:t>тобы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обучить речевому общению, необходимо выяснить, как связаны язык и культура и как показать эту взаимосвязь в процессе обучения. 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В отличие от страноведения и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этнолингвистики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"целостное теоретико-описательное исследование объектов как функционирующей системы культурных ценностей, отражённых в языке,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контрастивный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анализ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лингвокультурологических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сфер разных языков (народов) на основании теории лингвистической относительности (гипотеза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Э.Сепира-Б</w:t>
      </w:r>
      <w:proofErr w:type="gramStart"/>
      <w:r w:rsidRPr="00291A82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291A82">
        <w:rPr>
          <w:rFonts w:ascii="Times New Roman" w:eastAsia="Times New Roman" w:hAnsi="Times New Roman" w:cs="Times New Roman"/>
          <w:sz w:val="24"/>
          <w:szCs w:val="24"/>
        </w:rPr>
        <w:t>орфа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)" 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Язык через значение выходит в мир, значение - это тропинка, которая соединяет язык с внеязыковой реальностью. За языковыми явлениями лежит </w:t>
      </w:r>
      <w:proofErr w:type="gramStart"/>
      <w:r w:rsidRPr="00291A82">
        <w:rPr>
          <w:rFonts w:ascii="Times New Roman" w:eastAsia="Times New Roman" w:hAnsi="Times New Roman" w:cs="Times New Roman"/>
          <w:sz w:val="24"/>
          <w:szCs w:val="24"/>
        </w:rPr>
        <w:t>определённая</w:t>
      </w:r>
      <w:proofErr w:type="gram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социокультура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. За языковой картиной мира лежит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картина мира. Чтобы реально пользоваться разговорным языком, надо знать совокупность внеязыковых фактов, то, что лежит за языком. Возрастающий интерес к проблеме "язык-культура" делает всё настоятельней необходимость уточнения источников, параметров, методов исследования понятий, входящих в сферу терминологического инвентаря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2057400"/>
            <wp:effectExtent l="19050" t="0" r="9525" b="0"/>
            <wp:wrapSquare wrapText="bothSides"/>
            <wp:docPr id="21" name="Рисунок 4" descr="http://www.gramota.ru/book/ritorika/images/se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mota.ru/book/ritorika/images/sepi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2" name="Рисунок 8" descr="http://www.gramota.ru/book/ritorika/images/letter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amota.ru/book/ritorika/images/letter_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концепции "язык и культура" сходятся интересы всех наук о человеке, это та сквозная идея, которая разрушает границы между дисциплинами, изучающими человека, поскольку нельзя изучать </w:t>
      </w:r>
      <w:r w:rsidRPr="00291A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человека вне его языка. Язык представляет собой главную форму выражения и существования национальной культуры. Э.Сепир писал: </w:t>
      </w:r>
      <w:hyperlink r:id="rId15" w:anchor="NO" w:history="1"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 xml:space="preserve">"Культуру можно определить как то, </w:t>
        </w:r>
        <w:proofErr w:type="gramStart"/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</w:rPr>
          <w:t>ч</w:t>
        </w:r>
        <w:proofErr w:type="gramEnd"/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</w:rPr>
          <w:t xml:space="preserve"> т о</w:t>
        </w:r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 xml:space="preserve"> данное общество делает и думает. Язык же есть то, </w:t>
        </w:r>
        <w:proofErr w:type="gramStart"/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</w:rPr>
          <w:t>к</w:t>
        </w:r>
        <w:proofErr w:type="gramEnd"/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</w:rPr>
          <w:t xml:space="preserve"> а к</w:t>
        </w:r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 xml:space="preserve"> думают". </w:t>
        </w:r>
      </w:hyperlink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Язык, таким образом, выступает как реализованная внутренняя форма выражения культуры, как средство аккумуляции знаний культуры. 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Главное назначение культуры - быть средством духовного обогащения личности. Человек погружается в "мир культуры", осваивая множество языков, специфичных для материальной и духовной культуры. Национальный характер культуры предполагает взаимодействие языков и культур разных народов, их взаимное обогащение до целостного "фундаментального основания" - мировой культуры, достижения всего человечества. Культура как творение народа является единством национального (специфического) и общего (интернационального). 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09550"/>
            <wp:effectExtent l="19050" t="0" r="0" b="0"/>
            <wp:docPr id="23" name="Рисунок 9" descr="http://www.gramota.ru/book/ritorika/images/letter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amota.ru/book/ritorika/images/letter_1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аиболее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полно соотношение "язык - культура" отражено в трудах </w:t>
      </w:r>
      <w:hyperlink r:id="rId17" w:history="1"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>В. фон Гумбольдта,</w:t>
        </w:r>
      </w:hyperlink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который писал: </w:t>
      </w:r>
      <w:hyperlink r:id="rId18" w:anchor="NO" w:history="1"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 xml:space="preserve">"Человек преимущественно: живёт с предметами так, как их преподносит ему язык: Каждый язык описывает вокруг народа, которому он принадлежит, круг, откуда человеку дано выйти лишь постольку, поскольку он вступает в круг другого языка". </w:t>
        </w:r>
      </w:hyperlink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1504950"/>
            <wp:effectExtent l="19050" t="0" r="0" b="0"/>
            <wp:wrapSquare wrapText="bothSides"/>
            <wp:docPr id="24" name="Рисунок 5" descr="http://www.gramota.ru/book/ritorika/images/gumbold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amota.ru/book/ritorika/images/gumboldt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209550"/>
            <wp:effectExtent l="19050" t="0" r="9525" b="0"/>
            <wp:docPr id="25" name="Рисунок 10" descr="http://www.gramota.ru/book/ritorika/images/letter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amota.ru/book/ritorika/images/letter_1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оследователи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В. фон Гумбольдта (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неогумбольдтианцы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>) рассматривают "картину мира" как "промежуточный языковой мир", создаваемый творческим духом нации, как форму представления данной национальной культуры и как сопоставительную интерференцию разных культур, отражённых в различных национальных языках</w:t>
      </w:r>
      <w:proofErr w:type="gramStart"/>
      <w:r w:rsidRPr="00291A8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Б.Л. Уорф в работе "Отношение норм поведения и мышления к языку" отмечал, что язык и культура развивались вместе, постепенно влияя друг на друга. Но в этом союзе сама природа языка является тем фактором, который сдерживает его развитие: </w:t>
      </w:r>
      <w:hyperlink r:id="rId21" w:anchor="NO" w:history="1"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 xml:space="preserve">"Это происходит потому, что язык является системой, а не просто комплексом норм. Структура большой системы поддаётся существенному изменению очень медленно, в то время как во многих других областях культуры изменения совершаются сравнительно быстро. Язык, таким образом, отражает массовое мышление; он реагирует на все изменения и нововведения, но реагирует слабо и медленно, тогда как в сознании </w:t>
        </w:r>
        <w:proofErr w:type="gramStart"/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>производящих</w:t>
        </w:r>
        <w:proofErr w:type="gramEnd"/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 xml:space="preserve"> изменения это происходит моментально". </w:t>
        </w:r>
      </w:hyperlink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14450"/>
            <wp:effectExtent l="19050" t="0" r="0" b="0"/>
            <wp:wrapSquare wrapText="bothSides"/>
            <wp:docPr id="26" name="Рисунок 6" descr="http://www.gramota.ru/book/ritorika/images/compu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amota.ru/book/ritorika/images/computer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7" name="Рисунок 11" descr="http://www.gramota.ru/book/ritorika/images/letter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amota.ru/book/ritorika/images/letter_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наше время русский язык и его носители резко вышли в мир, пошли межкультурные контакты. Россияне стали больше владеть другими языками для общения, им нужно было знать культурную составляющую. Сюда же добавился почти моментальный выход в Интернет. Лингвистика сделала задачу сопоставления культур абсолютно необходимой. Если мы обучаем языку, то должны учить находить в тексте те знаки, которые приведут к пониманию некоторого общего концептуального смысла, который в значительной степени культурно обусловлен значениями языковых единиц. В плане проблемы "язык и культура" разрабатывается метод встречного, паритетного описания культуры через факты её отражения в языке и интерпретации самих языковых фактов через "глубинный, внеязыковой, культурный компонент" (вертикальный контекст).   Синтез собственно лингвистических методов с методами других, смежных наук привели к познавательной, когнитивной (социально-речевой) ориентации, к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когнитологии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>: языковой контекст должен корректироваться культурологическим, опираться на более глубокие сведения культурологического характера, на передачу внеязыкового, когнитивного "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со-значения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" для адекватности речевого употребления. 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9075" cy="209550"/>
            <wp:effectExtent l="19050" t="0" r="9525" b="0"/>
            <wp:docPr id="28" name="Рисунок 12" descr="http://www.gramota.ru/book/ritorika/images/letter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ramota.ru/book/ritorika/images/letter_17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91A82">
        <w:rPr>
          <w:rFonts w:ascii="Times New Roman" w:eastAsia="Times New Roman" w:hAnsi="Times New Roman" w:cs="Times New Roman"/>
          <w:sz w:val="24"/>
          <w:szCs w:val="24"/>
        </w:rPr>
        <w:t>ущность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концептуальной сферы того языка, который изучается, и языка, по сравнению с которым это изучается, выявляется в подходах, методах, которые имеют национальное своеобразие.</w:t>
      </w:r>
      <w:proofErr w:type="gramEnd"/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i/>
          <w:iCs/>
          <w:color w:val="9B0102"/>
          <w:sz w:val="24"/>
          <w:szCs w:val="24"/>
        </w:rPr>
        <w:t>Культурная антропология</w:t>
      </w: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- это американский подход, германский - это </w:t>
      </w:r>
      <w:r w:rsidRPr="00291A82">
        <w:rPr>
          <w:rFonts w:ascii="Times New Roman" w:eastAsia="Times New Roman" w:hAnsi="Times New Roman" w:cs="Times New Roman"/>
          <w:i/>
          <w:iCs/>
          <w:color w:val="9B0102"/>
          <w:sz w:val="24"/>
          <w:szCs w:val="24"/>
        </w:rPr>
        <w:t>герменевтика</w:t>
      </w:r>
      <w:r w:rsidRPr="00291A82">
        <w:rPr>
          <w:rFonts w:ascii="Times New Roman" w:eastAsia="Times New Roman" w:hAnsi="Times New Roman" w:cs="Times New Roman"/>
          <w:color w:val="9B0102"/>
          <w:sz w:val="24"/>
          <w:szCs w:val="24"/>
        </w:rPr>
        <w:t>,</w:t>
      </w: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французский - это </w:t>
      </w:r>
      <w:r w:rsidRPr="00291A82">
        <w:rPr>
          <w:rFonts w:ascii="Times New Roman" w:eastAsia="Times New Roman" w:hAnsi="Times New Roman" w:cs="Times New Roman"/>
          <w:i/>
          <w:iCs/>
          <w:color w:val="9B0102"/>
          <w:sz w:val="24"/>
          <w:szCs w:val="24"/>
        </w:rPr>
        <w:t>эпистемология</w:t>
      </w:r>
      <w:r w:rsidRPr="00291A82">
        <w:rPr>
          <w:rFonts w:ascii="Times New Roman" w:eastAsia="Times New Roman" w:hAnsi="Times New Roman" w:cs="Times New Roman"/>
          <w:color w:val="9B0102"/>
          <w:sz w:val="24"/>
          <w:szCs w:val="24"/>
        </w:rPr>
        <w:t>.</w:t>
      </w: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Все эти дисциплины одинаково правомерно существуют и представляют сугубо национальную форму проявления одного и того же. Как практически показать через текст концептуальную основу - в этом вся задача, потому что теория - одно, а прагматика действия, то есть технология этого исследования, - это другое дело.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Следует различать предмет реальности, представление понятия - концепт и языковое выражение. Важно увидеть всё это через призму конфликтов культур, как можно больше знать и о культуре своего партнёра, и о своей культуре, а также важно видеть это через разные углы зрения. </w:t>
      </w:r>
      <w:r w:rsidRPr="00291A82">
        <w:rPr>
          <w:rFonts w:ascii="Times New Roman" w:eastAsia="Times New Roman" w:hAnsi="Times New Roman" w:cs="Times New Roman"/>
          <w:i/>
          <w:iCs/>
          <w:color w:val="9B0102"/>
          <w:sz w:val="24"/>
          <w:szCs w:val="24"/>
        </w:rPr>
        <w:t>Культура</w:t>
      </w: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воспринимается в широчайшем этнографическом смысле как </w:t>
      </w:r>
      <w:r w:rsidRPr="00291A82">
        <w:rPr>
          <w:rFonts w:ascii="Times New Roman" w:eastAsia="Times New Roman" w:hAnsi="Times New Roman" w:cs="Times New Roman"/>
          <w:i/>
          <w:iCs/>
          <w:color w:val="9B0102"/>
          <w:sz w:val="24"/>
          <w:szCs w:val="24"/>
        </w:rPr>
        <w:t>система идей, традиций, образ жизни, видение мира, национальный характер, менталитет.</w:t>
      </w:r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Без культурных коннотаций не </w:t>
      </w:r>
      <w:proofErr w:type="gramStart"/>
      <w:r w:rsidRPr="00291A82">
        <w:rPr>
          <w:rFonts w:ascii="Times New Roman" w:eastAsia="Times New Roman" w:hAnsi="Times New Roman" w:cs="Times New Roman"/>
          <w:sz w:val="24"/>
          <w:szCs w:val="24"/>
        </w:rPr>
        <w:t>может существовать ни одно слово Н.С.Трубецкой писал</w:t>
      </w:r>
      <w:proofErr w:type="gramEnd"/>
      <w:r w:rsidRPr="00291A82">
        <w:rPr>
          <w:rFonts w:ascii="Times New Roman" w:eastAsia="Times New Roman" w:hAnsi="Times New Roman" w:cs="Times New Roman"/>
          <w:sz w:val="24"/>
          <w:szCs w:val="24"/>
        </w:rPr>
        <w:t>: при сопоставлении должно быть что-то общее в сопоставляемых частях.</w:t>
      </w:r>
    </w:p>
    <w:p w:rsidR="00291A82" w:rsidRPr="00291A82" w:rsidRDefault="00291A82" w:rsidP="0029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209550"/>
            <wp:effectExtent l="19050" t="0" r="9525" b="0"/>
            <wp:docPr id="29" name="Рисунок 13" descr="http://www.gramota.ru/book/ritorika/images/letter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ramota.ru/book/ritorika/images/letter_1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91A8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мнению </w:t>
      </w:r>
      <w:hyperlink r:id="rId24" w:history="1">
        <w:r w:rsidRPr="00291A82">
          <w:rPr>
            <w:rFonts w:ascii="Times New Roman" w:eastAsia="Times New Roman" w:hAnsi="Times New Roman" w:cs="Times New Roman"/>
            <w:color w:val="800000"/>
            <w:sz w:val="24"/>
            <w:szCs w:val="24"/>
          </w:rPr>
          <w:t>В.В.Воробьёва,</w:t>
        </w:r>
      </w:hyperlink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1A82">
        <w:rPr>
          <w:rFonts w:ascii="Times New Roman" w:eastAsia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291A82">
        <w:rPr>
          <w:rFonts w:ascii="Times New Roman" w:eastAsia="Times New Roman" w:hAnsi="Times New Roman" w:cs="Times New Roman"/>
          <w:sz w:val="24"/>
          <w:szCs w:val="24"/>
        </w:rPr>
        <w:t xml:space="preserve"> как научная дисциплина характеризуется рядом специфических особенностей: </w:t>
      </w:r>
    </w:p>
    <w:p w:rsidR="00291A82" w:rsidRPr="00291A82" w:rsidRDefault="00291A82" w:rsidP="00291A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>Это научная дисциплина синтезирующего типа, пограничная между науками, изучающими культуру, и филологией (лингвистикой).</w:t>
      </w:r>
    </w:p>
    <w:p w:rsidR="00291A82" w:rsidRPr="00291A82" w:rsidRDefault="00291A82" w:rsidP="00291A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Основным объектом </w:t>
      </w:r>
      <w:proofErr w:type="spellStart"/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>лингвокультурологии</w:t>
      </w:r>
      <w:proofErr w:type="spellEnd"/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являются взаимосвязь и взаимодействие культуры и языка в процессе его функционирования и изучение интерпретации этого взаимодействия в единой системной целостности. </w:t>
      </w:r>
    </w:p>
    <w:p w:rsidR="00291A82" w:rsidRPr="00291A82" w:rsidRDefault="00291A82" w:rsidP="00291A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</w:t>
      </w:r>
      <w:proofErr w:type="spellStart"/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>лингвокультурологии</w:t>
      </w:r>
      <w:proofErr w:type="spellEnd"/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национальные формы бытия общества, воспроизводимые в системе языковой коммуникации и основанные на его культурных ценностях, всё, что составляет "языковую картину мира". </w:t>
      </w:r>
    </w:p>
    <w:p w:rsidR="00291A82" w:rsidRPr="00291A82" w:rsidRDefault="00291A82" w:rsidP="00291A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>Лингвокультурология</w:t>
      </w:r>
      <w:proofErr w:type="spellEnd"/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ориентируется на новую систему культурных ценностей, выдвинутых новым мышлением, современной жизнью общества, на полную, объективную интерпретацию фактов и явлений и информацию о различных областях культурной жизни страны. </w:t>
      </w:r>
    </w:p>
    <w:p w:rsidR="00291A82" w:rsidRPr="00291A82" w:rsidRDefault="00291A82" w:rsidP="00291A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Объективная, полная и целостная интерпретация культуры народа требует от </w:t>
      </w:r>
      <w:proofErr w:type="spellStart"/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>лингвокультурологии</w:t>
      </w:r>
      <w:proofErr w:type="spellEnd"/>
      <w:r w:rsidRPr="00291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системного представления культуры народа в его языке, в их диалектическом взаимодействии и развитии, а также разработки понятийного ряда, который способствует формированию современного культурологического мышления.</w:t>
      </w:r>
    </w:p>
    <w:p w:rsidR="00023F8F" w:rsidRDefault="00023F8F" w:rsidP="00291A82">
      <w:pPr>
        <w:spacing w:after="0" w:line="240" w:lineRule="auto"/>
        <w:ind w:firstLine="709"/>
        <w:jc w:val="both"/>
      </w:pPr>
    </w:p>
    <w:sectPr w:rsidR="0002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51BB"/>
    <w:multiLevelType w:val="multilevel"/>
    <w:tmpl w:val="81A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A82"/>
    <w:rsid w:val="00023F8F"/>
    <w:rsid w:val="0029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1A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book/ritorika/4_1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ramota.ru/book/ritorika/4_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ramota.ru/book/ritorika/4_1.html" TargetMode="External"/><Relationship Id="rId7" Type="http://schemas.openxmlformats.org/officeDocument/2006/relationships/hyperlink" Target="http://www.gramota.ru/book/ritorika/href1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ramota.ru/book/ritorika/href4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gramota.ru/book/ritorika/4_1.html" TargetMode="External"/><Relationship Id="rId24" Type="http://schemas.openxmlformats.org/officeDocument/2006/relationships/hyperlink" Target="http://www.gramota.ru/book/ritorika/href6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gramota.ru/book/ritorika/4_1.html" TargetMode="External"/><Relationship Id="rId23" Type="http://schemas.openxmlformats.org/officeDocument/2006/relationships/image" Target="media/image11.gif"/><Relationship Id="rId10" Type="http://schemas.openxmlformats.org/officeDocument/2006/relationships/image" Target="media/image3.gif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hyperlink" Target="http://www.gramota.ru/book/ritorika/4_1.html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Nursulu</cp:lastModifiedBy>
  <cp:revision>2</cp:revision>
  <dcterms:created xsi:type="dcterms:W3CDTF">2013-09-20T04:28:00Z</dcterms:created>
  <dcterms:modified xsi:type="dcterms:W3CDTF">2013-09-20T04:30:00Z</dcterms:modified>
</cp:coreProperties>
</file>